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107950</wp:posOffset>
            </wp:positionV>
            <wp:extent cx="1671955" cy="98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1955"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SS&amp;C TECHNOLOGIES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001-34675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71-0987913</w:t>
      </w:r>
    </w:p>
    <w:p>
      <w:pPr>
        <w:spacing w:after="0" w:line="43" w:lineRule="exact"/>
        <w:rPr>
          <w:sz w:val="24"/>
          <w:szCs w:val="24"/>
          <w:color w:val="auto"/>
        </w:rPr>
      </w:pPr>
    </w:p>
    <w:p>
      <w:pPr>
        <w:sectPr>
          <w:pgSz w:w="11900" w:h="16838" w:orient="portrait"/>
          <w:cols w:equalWidth="0" w:num="3">
            <w:col w:w="4520" w:space="720"/>
            <w:col w:w="2980" w:space="720"/>
            <w:col w:w="2300"/>
          </w:cols>
          <w:pgMar w:left="320" w:top="1172" w:right="3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(IRS Employer Identification No.)</w:t>
      </w:r>
    </w:p>
    <w:p>
      <w:pPr>
        <w:spacing w:after="0" w:line="146" w:lineRule="exact"/>
        <w:rPr>
          <w:sz w:val="24"/>
          <w:szCs w:val="24"/>
          <w:color w:val="auto"/>
        </w:rPr>
      </w:pPr>
    </w:p>
    <w:p>
      <w:pPr>
        <w:sectPr>
          <w:pgSz w:w="11900" w:h="16838" w:orient="portrait"/>
          <w:cols w:equalWidth="0" w:num="3">
            <w:col w:w="4280" w:space="720"/>
            <w:col w:w="2860" w:space="720"/>
            <w:col w:w="2660"/>
          </w:cols>
          <w:pgMar w:left="320" w:top="1172" w:right="3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7"/>
          <w:szCs w:val="17"/>
          <w:b w:val="1"/>
          <w:bCs w:val="1"/>
          <w:color w:val="auto"/>
        </w:rPr>
        <w:t>80 Lamberton Road, Windsor, 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06095</w:t>
      </w:r>
    </w:p>
    <w:p>
      <w:pPr>
        <w:spacing w:after="0" w:line="31" w:lineRule="exact"/>
        <w:rPr>
          <w:sz w:val="24"/>
          <w:szCs w:val="24"/>
          <w:color w:val="auto"/>
        </w:rPr>
      </w:pPr>
    </w:p>
    <w:p>
      <w:pPr>
        <w:sectPr>
          <w:pgSz w:w="11900" w:h="16838" w:orient="portrait"/>
          <w:cols w:equalWidth="0" w:num="2">
            <w:col w:w="8420" w:space="720"/>
            <w:col w:w="2100"/>
          </w:cols>
          <w:pgMar w:left="320" w:top="1172" w:right="339"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92" w:lineRule="exact"/>
        <w:rPr>
          <w:sz w:val="24"/>
          <w:szCs w:val="24"/>
          <w:color w:val="auto"/>
        </w:rPr>
      </w:pPr>
    </w:p>
    <w:p>
      <w:pPr>
        <w:sectPr>
          <w:pgSz w:w="11900" w:h="16838" w:orient="portrait"/>
          <w:cols w:equalWidth="0" w:num="2">
            <w:col w:w="8400" w:space="720"/>
            <w:col w:w="2120"/>
          </w:cols>
          <w:pgMar w:left="320" w:top="11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(860) 298-4500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900" w:hanging="38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00" w:hanging="38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00" w:hanging="38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00" w:hanging="38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00" w:hanging="383"/>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17"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180" w:type="dxa"/>
            <w:vAlign w:val="bottom"/>
          </w:tcPr>
          <w:p>
            <w:pPr>
              <w:spacing w:after="0"/>
              <w:rPr>
                <w:sz w:val="18"/>
                <w:szCs w:val="18"/>
                <w:color w:val="auto"/>
              </w:rPr>
            </w:pPr>
          </w:p>
        </w:tc>
        <w:tc>
          <w:tcPr>
            <w:tcW w:w="2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Trading Symbol</w:t>
            </w:r>
          </w:p>
        </w:tc>
        <w:tc>
          <w:tcPr>
            <w:tcW w:w="444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40" w:type="dxa"/>
            <w:vAlign w:val="bottom"/>
          </w:tcPr>
          <w:p>
            <w:pPr>
              <w:spacing w:after="0"/>
              <w:rPr>
                <w:sz w:val="24"/>
                <w:szCs w:val="24"/>
                <w:color w:val="auto"/>
              </w:rPr>
            </w:pPr>
          </w:p>
        </w:tc>
        <w:tc>
          <w:tcPr>
            <w:tcW w:w="18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7"/>
              </w:rPr>
              <w:t>SSNC</w:t>
            </w:r>
          </w:p>
        </w:tc>
        <w:tc>
          <w:tcPr>
            <w:tcW w:w="444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175"/>
        </w:trPr>
        <w:tc>
          <w:tcPr>
            <w:tcW w:w="2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01"/>
        </w:trPr>
        <w:tc>
          <w:tcPr>
            <w:tcW w:w="21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1067"/>
        </w:trPr>
        <w:tc>
          <w:tcPr>
            <w:tcW w:w="2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type w:val="continuous"/>
        </w:sectPr>
      </w:pPr>
    </w:p>
    <w:bookmarkStart w:id="1" w:name="page2"/>
    <w:bookmarkEnd w:id="1"/>
    <w:p>
      <w:pPr>
        <w:ind w:right="220"/>
        <w:spacing w:after="0" w:line="263"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At the Annual Meeting of Stockholders of SS&amp;C Technologies Holdings, Inc. (the “Company”) held on May 20, 2026 (the “Annual Meeting”), the Company’s stockholders approved the adoption of the SS&amp;C Technologies Holdings, Inc. Third Amended and Restated 2023 Stock Incentive Plan (the “Third A&amp;R 2023 Plan”) to increase the number of shares reserved for issuance under the Third A&amp;R 2023 Plan by 10,000,000 shares of common stock of the Company. The Company’s Board of Directors (the “Board”) approved the adoption of the Third A&amp;R 2023 Plan on March 11, 2026, subject to approval by the Company’s stockholders at the Annual Meeting.</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Third A&amp;R 2023 Plan amends and restates the SS&amp;C Technologies Holdings, Inc. 2023 Second Amended and Restated Stock Incentive Plan, which was previously approved by the Company’s stockholders on May 21, 2025. The principal features of the Third A&amp;R 2023 Plan are described in detail under “Proposal 4 - Approval of SS&amp;C Technologies Holdings, Inc. Third Amended and Restated 2023 Stock Incentive Plan” of the Company’s Definitive Proxy Statement on Schedule 14A for the Annual Meeting filed by the Company with the Securities and Exchange Commission on April 8, 2026 (the “Proxy Statement”). The full text of the Third A&amp;R 2023 Plan is attached as Appendix B to the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the Company’s stockholders voted on the following proposals and director nominations:</w:t>
      </w:r>
    </w:p>
    <w:p>
      <w:pPr>
        <w:spacing w:after="0" w:line="333" w:lineRule="exact"/>
        <w:rPr>
          <w:sz w:val="20"/>
          <w:szCs w:val="20"/>
          <w:color w:val="auto"/>
        </w:rPr>
      </w:pPr>
    </w:p>
    <w:p>
      <w:pPr>
        <w:ind w:left="760" w:right="2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elected to the Company’s Board as Class I directors, to serve a term expiring at the 2029 annual meeting of stockholders and until their successors have been duly elected and qualified. The votes cast with respect to the election of the nominees are as follows:</w:t>
      </w: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Normand A. Boulanger</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189,130,350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10,740,140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8,031,627</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11,654,381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David A. Varsano</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166,765,134</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33,105,141</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8,031,842</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11,654,381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Zamkow</w:t>
            </w:r>
          </w:p>
        </w:tc>
        <w:tc>
          <w:tcPr>
            <w:tcW w:w="1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186,910,160</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12,959,380</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8,032,577</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11,654,381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on the compensation of the Company’s named executive officers was approved. The votes cast with respect to this matter are as follows: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spacing w:after="0"/>
              <w:rPr>
                <w:sz w:val="16"/>
                <w:szCs w:val="16"/>
                <w:color w:val="auto"/>
              </w:rPr>
            </w:pP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4"/>
        </w:trPr>
        <w:tc>
          <w:tcPr>
            <w:tcW w:w="24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174,257,337</w:t>
            </w:r>
          </w:p>
        </w:tc>
        <w:tc>
          <w:tcPr>
            <w:tcW w:w="240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33,615,417</w:t>
            </w:r>
          </w:p>
        </w:tc>
        <w:tc>
          <w:tcPr>
            <w:tcW w:w="17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29,363</w:t>
            </w:r>
          </w:p>
        </w:tc>
        <w:tc>
          <w:tcPr>
            <w:tcW w:w="2980" w:type="dxa"/>
            <w:vAlign w:val="bottom"/>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11,654,381</w:t>
            </w:r>
          </w:p>
        </w:tc>
      </w:tr>
    </w:tbl>
    <w:p>
      <w:pPr>
        <w:spacing w:after="0" w:line="198" w:lineRule="exact"/>
        <w:rPr>
          <w:sz w:val="20"/>
          <w:szCs w:val="20"/>
          <w:color w:val="auto"/>
        </w:rPr>
      </w:pPr>
    </w:p>
    <w:p>
      <w:pPr>
        <w:ind w:left="760" w:right="4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PricewaterhouseCoopers LLP as the independent registered public accounting firm for the Company for the fiscal year ending December 31, 2026. The votes cast with respect to this proposal are as follows:</w:t>
      </w:r>
    </w:p>
    <w:p>
      <w:pPr>
        <w:spacing w:after="0" w:line="155" w:lineRule="exact"/>
        <w:rPr>
          <w:sz w:val="20"/>
          <w:szCs w:val="20"/>
          <w:color w:val="auto"/>
        </w:rPr>
      </w:pPr>
    </w:p>
    <w:tbl>
      <w:tblPr>
        <w:tblLayout w:type="fixed"/>
        <w:tblInd w:w="2200" w:type="dxa"/>
        <w:tblCellMar>
          <w:top w:w="0" w:type="dxa"/>
          <w:left w:w="0" w:type="dxa"/>
          <w:bottom w:w="0" w:type="dxa"/>
          <w:right w:w="0" w:type="dxa"/>
        </w:tblCellMar>
      </w:tblPr>
      <w:tr>
        <w:trPr>
          <w:trHeight w:val="19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0" w:type="dxa"/>
            <w:vAlign w:val="bottom"/>
          </w:tcPr>
          <w:p>
            <w:pPr>
              <w:spacing w:after="0"/>
              <w:rPr>
                <w:sz w:val="16"/>
                <w:szCs w:val="16"/>
                <w:color w:val="auto"/>
              </w:rPr>
            </w:pPr>
          </w:p>
        </w:tc>
        <w:tc>
          <w:tcPr>
            <w:tcW w:w="17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28"/>
        </w:trPr>
        <w:tc>
          <w:tcPr>
            <w:tcW w:w="258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209,980,176</w:t>
            </w:r>
          </w:p>
        </w:tc>
        <w:tc>
          <w:tcPr>
            <w:tcW w:w="22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9,554,471</w:t>
            </w:r>
          </w:p>
        </w:tc>
        <w:tc>
          <w:tcPr>
            <w:tcW w:w="2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21,851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-156210</wp:posOffset>
            </wp:positionV>
            <wp:extent cx="13716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-156210</wp:posOffset>
            </wp:positionV>
            <wp:extent cx="12890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1430"/>
                    </a:xfrm>
                    <a:prstGeom prst="rect">
                      <a:avLst/>
                    </a:prstGeom>
                    <a:noFill/>
                  </pic:spPr>
                </pic:pic>
              </a:graphicData>
            </a:graphic>
          </wp:anchor>
        </w:drawing>
      </w:r>
    </w:p>
    <w:p>
      <w:pPr>
        <w:spacing w:after="0" w:line="178" w:lineRule="exact"/>
        <w:rPr>
          <w:sz w:val="20"/>
          <w:szCs w:val="20"/>
          <w:color w:val="auto"/>
        </w:rPr>
      </w:pPr>
    </w:p>
    <w:p>
      <w:pPr>
        <w:ind w:left="760" w:right="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SS&amp;C Technologies Holdings, Inc. Third Amended and Restated 2023 Stock Incentive Plan. The votes cast with respect to this matter are as follows: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spacing w:after="0"/>
              <w:rPr>
                <w:sz w:val="16"/>
                <w:szCs w:val="16"/>
                <w:color w:val="auto"/>
              </w:rPr>
            </w:pP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4"/>
        </w:trPr>
        <w:tc>
          <w:tcPr>
            <w:tcW w:w="24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177,696,046</w:t>
            </w:r>
          </w:p>
        </w:tc>
        <w:tc>
          <w:tcPr>
            <w:tcW w:w="240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30,180,122</w:t>
            </w:r>
          </w:p>
        </w:tc>
        <w:tc>
          <w:tcPr>
            <w:tcW w:w="17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25,949</w:t>
            </w:r>
          </w:p>
        </w:tc>
        <w:tc>
          <w:tcPr>
            <w:tcW w:w="2980" w:type="dxa"/>
            <w:vAlign w:val="bottom"/>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11,654,381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-147955</wp:posOffset>
            </wp:positionV>
            <wp:extent cx="11176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 cy="1143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-147955</wp:posOffset>
            </wp:positionV>
            <wp:extent cx="11112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1143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-147955</wp:posOffset>
            </wp:positionV>
            <wp:extent cx="11176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11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for stockholder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May 21, 2026, the Company announced that its Board of Directors (“Board”) has authorized a renewal of its stock repurchase program, which will enable the Company to repurchase up to $1.5 billion in aggregate of the Company’s outstanding shares of common stock. Under the renewed and increased program, the Company’s proposed repurchases may be made from time to time in one or more transactions on the open market or in privately negotiated purchase and/or through other legally permissible means, depending on market conditions and in accordance with applicable rules and regulations promulgated under Securities Exchange Act of 1934, as amended. The timing and amount of any shares repurchased will be determined by the Company’s management based on its evaluation of market conditions and other factors. Repurchases may also be made under a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which would permit shares to be repurchased when the Company might otherwise be precluded from doing so under insider trading laws. The repurchase program may be suspended or discontinued at any time. Any repurchased shares will be available for use in connection with the Company’s stock plans and for other corporate purposes. The Company’s authority to repurchase shares under the renewed program shall continue until the one-year anniversary of the Board’s authorization, unless terminated by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40"/>
        <w:spacing w:after="0"/>
        <w:tabs>
          <w:tab w:leader="none" w:pos="8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the Company on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-7620</wp:posOffset>
            </wp:positionV>
            <wp:extent cx="258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ind w:right="54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SS&amp;C TECHNOLOGIES HOLDINGS, INC.</w:t>
            </w:r>
          </w:p>
        </w:tc>
      </w:tr>
      <w:tr>
        <w:trPr>
          <w:trHeight w:val="45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7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Jason White</w:t>
            </w:r>
          </w:p>
        </w:tc>
      </w:tr>
      <w:tr>
        <w:trPr>
          <w:trHeight w:val="191"/>
        </w:trPr>
        <w:tc>
          <w:tcPr>
            <w:tcW w:w="3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Jason White</w:t>
            </w:r>
          </w:p>
        </w:tc>
      </w:tr>
      <w:tr>
        <w:trPr>
          <w:trHeight w:val="234"/>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1370"/>
        </w:trPr>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jc w:val="right"/>
        <w:ind w:right="2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7080885" cy="905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080885" cy="905256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439"/>
        <w:spacing w:after="0" w:line="256" w:lineRule="auto"/>
        <w:rPr>
          <w:sz w:val="20"/>
          <w:szCs w:val="20"/>
          <w:color w:val="auto"/>
        </w:rPr>
      </w:pPr>
      <w:r>
        <w:rPr>
          <w:rFonts w:ascii="Arial" w:cs="Arial" w:eastAsia="Arial" w:hAnsi="Arial"/>
          <w:sz w:val="40"/>
          <w:szCs w:val="40"/>
          <w:color w:val="5B9BD5"/>
        </w:rPr>
        <w:t>SS&amp;C Announces $1.5 Billion Stock Repurchase Program, Common Stock Dividend of $0.27 Per Share</w:t>
      </w:r>
    </w:p>
    <w:p>
      <w:pPr>
        <w:spacing w:after="0" w:line="337" w:lineRule="exact"/>
        <w:rPr>
          <w:sz w:val="20"/>
          <w:szCs w:val="20"/>
          <w:color w:val="auto"/>
        </w:rPr>
      </w:pPr>
    </w:p>
    <w:p>
      <w:pPr>
        <w:ind w:left="20" w:right="359"/>
        <w:spacing w:after="0" w:line="247" w:lineRule="auto"/>
        <w:rPr>
          <w:sz w:val="20"/>
          <w:szCs w:val="20"/>
          <w:color w:val="auto"/>
        </w:rPr>
      </w:pPr>
      <w:r>
        <w:rPr>
          <w:rFonts w:ascii="Arial" w:cs="Arial" w:eastAsia="Arial" w:hAnsi="Arial"/>
          <w:sz w:val="18"/>
          <w:szCs w:val="18"/>
          <w:b w:val="1"/>
          <w:bCs w:val="1"/>
          <w:color w:val="auto"/>
        </w:rPr>
        <w:t xml:space="preserve">WINDSOR, CT, May 21, 2026 /Business Wire/ </w:t>
      </w:r>
      <w:r>
        <w:rPr>
          <w:rFonts w:ascii="Arial" w:cs="Arial" w:eastAsia="Arial" w:hAnsi="Arial"/>
          <w:sz w:val="18"/>
          <w:szCs w:val="18"/>
          <w:color w:val="auto"/>
        </w:rPr>
        <w:t>-- SS&amp;C Technologies Holdings, Inc. (Nasdaq: SSNC)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its Board of Directors has authorized a renewal of its stock purchase program. The program enables the Company to repurchase up to $1.5 billion in aggregate of the Company’s outstanding shares of common stock.</w:t>
      </w:r>
    </w:p>
    <w:p>
      <w:pPr>
        <w:spacing w:after="0" w:line="160" w:lineRule="exact"/>
        <w:rPr>
          <w:sz w:val="20"/>
          <w:szCs w:val="20"/>
          <w:color w:val="auto"/>
        </w:rPr>
      </w:pPr>
    </w:p>
    <w:p>
      <w:pPr>
        <w:ind w:left="20" w:right="319"/>
        <w:spacing w:after="0" w:line="247" w:lineRule="auto"/>
        <w:rPr>
          <w:sz w:val="20"/>
          <w:szCs w:val="20"/>
          <w:color w:val="auto"/>
        </w:rPr>
      </w:pPr>
      <w:r>
        <w:rPr>
          <w:rFonts w:ascii="Arial" w:cs="Arial" w:eastAsia="Arial" w:hAnsi="Arial"/>
          <w:sz w:val="18"/>
          <w:szCs w:val="18"/>
          <w:color w:val="auto"/>
        </w:rPr>
        <w:t>Under the renewed program, the Company’s proposed repurchases may be made from time to time in one or more transactions on the open market or in privately negotiated purchase and/or through other legally permissible means, depending on market conditions and in accordance with applicable rules and regulations promulgated under the Securities Exchange Act of 1934, as amended.</w:t>
      </w:r>
    </w:p>
    <w:p>
      <w:pPr>
        <w:spacing w:after="0" w:line="160" w:lineRule="exact"/>
        <w:rPr>
          <w:sz w:val="20"/>
          <w:szCs w:val="20"/>
          <w:color w:val="auto"/>
        </w:rPr>
      </w:pPr>
    </w:p>
    <w:p>
      <w:pPr>
        <w:ind w:left="20" w:right="319"/>
        <w:spacing w:after="0"/>
        <w:rPr>
          <w:sz w:val="20"/>
          <w:szCs w:val="20"/>
          <w:color w:val="auto"/>
        </w:rPr>
      </w:pPr>
      <w:r>
        <w:rPr>
          <w:rFonts w:ascii="Arial" w:cs="Arial" w:eastAsia="Arial" w:hAnsi="Arial"/>
          <w:sz w:val="18"/>
          <w:szCs w:val="18"/>
          <w:color w:val="auto"/>
        </w:rPr>
        <w:t>The timing and amount of any shares repurchased will be determined by the Company's management based on its evaluation of market conditions and other factors. Repurchases may also be made under a Rule 10b5-1 plan, which would permit shares to be repurchased when the Company might otherwise be precluded from doing so under insider trading laws. The repurchase program may be suspended or discontinued at any time. Any repurchased shares will be available for use in connection with the SS&amp;C's stock plans and for other corporate purposes. The Company's authority to repurchase shares under the renewed program shall continue until the one year anniversary of the Board's authorization, unless earlier terminated by the Board.</w:t>
      </w:r>
    </w:p>
    <w:p>
      <w:pPr>
        <w:spacing w:after="0" w:line="171" w:lineRule="exact"/>
        <w:rPr>
          <w:sz w:val="20"/>
          <w:szCs w:val="20"/>
          <w:color w:val="auto"/>
        </w:rPr>
      </w:pPr>
    </w:p>
    <w:p>
      <w:pPr>
        <w:ind w:left="20" w:right="399"/>
        <w:spacing w:after="0" w:line="253" w:lineRule="auto"/>
        <w:rPr>
          <w:sz w:val="20"/>
          <w:szCs w:val="20"/>
          <w:color w:val="auto"/>
        </w:rPr>
      </w:pPr>
      <w:r>
        <w:rPr>
          <w:rFonts w:ascii="Arial" w:cs="Arial" w:eastAsia="Arial" w:hAnsi="Arial"/>
          <w:sz w:val="18"/>
          <w:szCs w:val="18"/>
          <w:color w:val="auto"/>
        </w:rPr>
        <w:t>The Board also approved a quarterly dividend payout of $0.27 per share, consistent with its quarterly dividend policy. The dividend is payable June 15, 2026, to stockholders of record as of the close of business on June 1, 2026.</w:t>
      </w:r>
    </w:p>
    <w:p>
      <w:pPr>
        <w:spacing w:after="0" w:line="155" w:lineRule="exact"/>
        <w:rPr>
          <w:sz w:val="20"/>
          <w:szCs w:val="20"/>
          <w:color w:val="auto"/>
        </w:rPr>
      </w:pPr>
    </w:p>
    <w:p>
      <w:pPr>
        <w:ind w:left="20" w:right="359"/>
        <w:spacing w:after="0" w:line="242" w:lineRule="auto"/>
        <w:rPr>
          <w:sz w:val="20"/>
          <w:szCs w:val="20"/>
          <w:color w:val="auto"/>
        </w:rPr>
      </w:pPr>
      <w:r>
        <w:rPr>
          <w:rFonts w:ascii="Arial" w:cs="Arial" w:eastAsia="Arial" w:hAnsi="Arial"/>
          <w:sz w:val="18"/>
          <w:szCs w:val="18"/>
          <w:color w:val="auto"/>
        </w:rPr>
        <w:t>“SS&amp;C has a strong business model and robust pipelines of opportunities, with AI as a structural tailwind for our business. We believe the current share price undervalues SS&amp;C’s financial strength and future prospects,” said Bill Stone, Chairman and Chief Executive Officer, SS&amp;C Technologies. “Capital allocation to maximize shareholder value remains our priority. We will use the cash flow to pay out our dividend, opportunistically repurchase stock and pay down debt, while maintaining the flexibility to pursue high-quality accretive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3155950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6" w:right="1440" w:bottom="1440" w:gutter="0" w:footer="0" w:header="0"/>
        </w:sectPr>
      </w:pPr>
    </w:p>
    <w:bookmarkStart w:id="5" w:name="page6"/>
    <w:bookmarkEnd w:id="5"/>
    <w:p>
      <w:pPr>
        <w:spacing w:after="0" w:line="352" w:lineRule="exact"/>
        <w:rPr>
          <w:sz w:val="20"/>
          <w:szCs w:val="20"/>
          <w:color w:val="auto"/>
        </w:rPr>
      </w:pPr>
    </w:p>
    <w:p>
      <w:pPr>
        <w:ind w:left="20"/>
        <w:spacing w:after="0"/>
        <w:rPr>
          <w:sz w:val="20"/>
          <w:szCs w:val="20"/>
          <w:color w:val="auto"/>
        </w:rPr>
      </w:pPr>
      <w:r>
        <w:rPr>
          <w:rFonts w:ascii="Arial" w:cs="Arial" w:eastAsia="Arial" w:hAnsi="Arial"/>
          <w:sz w:val="20"/>
          <w:szCs w:val="20"/>
          <w:color w:val="0081C6"/>
        </w:rPr>
        <w:t>About SS&amp;C Technologies</w:t>
      </w:r>
    </w:p>
    <w:p>
      <w:pPr>
        <w:spacing w:after="0" w:line="200" w:lineRule="exact"/>
        <w:rPr>
          <w:sz w:val="20"/>
          <w:szCs w:val="20"/>
          <w:color w:val="auto"/>
        </w:rPr>
      </w:pPr>
    </w:p>
    <w:p>
      <w:pPr>
        <w:spacing w:after="0" w:line="207" w:lineRule="exact"/>
        <w:rPr>
          <w:sz w:val="20"/>
          <w:szCs w:val="20"/>
          <w:color w:val="auto"/>
        </w:rPr>
      </w:pPr>
    </w:p>
    <w:p>
      <w:pPr>
        <w:ind w:left="20" w:right="360"/>
        <w:spacing w:after="0" w:line="239" w:lineRule="auto"/>
        <w:rPr>
          <w:sz w:val="20"/>
          <w:szCs w:val="20"/>
          <w:color w:val="auto"/>
        </w:rPr>
      </w:pPr>
      <w:r>
        <w:rPr>
          <w:rFonts w:ascii="Arial" w:cs="Arial" w:eastAsia="Arial" w:hAnsi="Arial"/>
          <w:sz w:val="18"/>
          <w:szCs w:val="18"/>
          <w:color w:val="222222"/>
        </w:rPr>
        <w:t>SS&amp;C is a global provider of services and software for the financial services and healthcare industries. Founded in 1986, SS&amp;C is headquartered in Windsor, Connecticut, and has offices around the world. More than 23,000 financial services and healthcare organizations, from the world's largest companies to small and mid-market firms, rely on SS&amp;C for expertise, scale and technology.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SOURCE: SS&amp;C</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w:t>
      </w:r>
    </w:p>
    <w:p>
      <w:pPr>
        <w:spacing w:after="0" w:line="21" w:lineRule="exact"/>
        <w:rPr>
          <w:sz w:val="20"/>
          <w:szCs w:val="20"/>
          <w:color w:val="auto"/>
        </w:rPr>
      </w:pPr>
    </w:p>
    <w:p>
      <w:pPr>
        <w:ind w:right="1399"/>
        <w:spacing w:after="0" w:line="265" w:lineRule="auto"/>
        <w:rPr>
          <w:sz w:val="20"/>
          <w:szCs w:val="20"/>
          <w:color w:val="auto"/>
        </w:rPr>
      </w:pPr>
      <w:r>
        <w:rPr>
          <w:rFonts w:ascii="Arial" w:cs="Arial" w:eastAsia="Arial" w:hAnsi="Arial"/>
          <w:sz w:val="16"/>
          <w:szCs w:val="16"/>
          <w:color w:val="auto"/>
        </w:rPr>
        <w:t>SS&amp;C (Nasdaq: SSNC) is available at www.ssctech.com.</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Follow SS&amp;C on Twitter, LinkedIn and Facebook.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081C6"/>
        </w:rPr>
        <w:t>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Brian Schell | Chief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Officer, SS&amp;C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Technologies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+1-816-642-0915| E-mail: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InvestorRelations@sscinc.com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Justine Stone | Investor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Relations, SS&amp;C Technologies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+1- 212-367-4705 | E-mail: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InvestorRelations@sscinc.com</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Chand Madaka │Investor Relations, SS&amp;C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Technologies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+1-908-845-1259 │E-mail: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InvestorRelations@sscinc.com</w:t>
      </w:r>
    </w:p>
    <w:p>
      <w:pPr>
        <w:sectPr>
          <w:pgSz w:w="11900" w:h="16838" w:orient="portrait"/>
          <w:cols w:equalWidth="0" w:num="2">
            <w:col w:w="4180" w:space="720"/>
            <w:col w:w="4119"/>
          </w:cols>
          <w:pgMar w:left="1440" w:top="1440"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967740</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2026-05-22T15:14:22Z</dcterms:created>
  <dcterms:modified xsi:type="dcterms:W3CDTF">2026-05-22T15:14:22Z</dcterms:modified>
</cp:coreProperties>
</file>